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Consideration of How Reporters Use the Word ‘Evil’</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J. Kirkhorn, Director Journalism Program at Gonzaga University Spokane, Washington</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Nieman Reports      -     Oct. 22, 2009</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Defining</w:t>
      </w:r>
      <w:r>
        <w:rPr>
          <w:rFonts w:ascii="Arial" w:hAnsi="Arial" w:cs="Arial"/>
          <w:sz w:val="16"/>
          <w:szCs w:val="16"/>
        </w:rPr>
        <w:t xml:space="preserve"> </w:t>
      </w:r>
      <w:r w:rsidRPr="00215A18">
        <w:rPr>
          <w:rStyle w:val="FootnoteReference"/>
        </w:rPr>
        <w:footnoteReference w:id="1"/>
      </w:r>
      <w:r>
        <w:rPr>
          <w:rFonts w:ascii="Arial" w:hAnsi="Arial" w:cs="Arial"/>
          <w:sz w:val="20"/>
          <w:szCs w:val="20"/>
        </w:rPr>
        <w:t>someone as being “evil” is a   . . .   serious matter. Applied, often casually, to a violent defier of the United States’s wishes, the excursion into language of denunciation suggests unpardonable behavior that requires the strongest punishment.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word “evil” stretches the fabric of the journalistic vocabulary, which usually tends to be political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Before journalists resort to using this word, as they have done frequently to describe Milosevic as the Kosovo crisis deepened, they often need prodding from propagandists and politicians. Their use of it does not occur in a vacuum.    . . .     Journalism provides the omens and sets the stage for promise of   . . .   retribution.     . . .    Milosevic has been portrayed as an unstable character, clinging to power at any cost, and a bit of a drunk.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Adversaries look good by comparison. No matter how dismal their reputations were before the conflict, now they can claim the moral high ground as “Western leaders” reluctant to apply force until goaded to action by the evil figure. Newsweek described Clinton as the leader of a “case of unmilitary characters” who surprised subordinates with the calm judgment and fortitude with which he was said to calm “his agitated crisis team.”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Whatever an evil leader has to say will be considered propaganda. If it is transparently false, it will be scoffed away; if believable it will be considered skillful propaganda. But never will anything he says be considered credible.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emerges here is a composite portrait of Milosevic, Saddam Hussein, Iranian mullahs, Somali warlords, Afghan plotters, Japanese subway bombers or Sudanese terrorists, a list of villains stretching back at least as far as Iranian Premier Mossadegh, about whom, TIME magazine observed in a 1952 cover story, when he was its Man of the Year: “In his plaintive, singsong voice he gabbled a defiant challenge that sprang out of a hatred and envy almost incomprehensible to the West.” The truly evil act that Mossadegh committed was to nationalize Western oil interests, an understandable action evilly motivated.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use of moralizing language makes the press susceptible to propagandists, who of course don’t mind seeing the enemy leader portrayed in a way that makes him eminently killable.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Dorothy Thompson and Janet Flanner found Hitler laughably miscast as a world-threatening dictator.   . . .   </w:t>
      </w: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---http://www.nieman.harvard.edu/reports/article/102209/The-Journalist-as-Moral-Arbiter.aspx</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Man of the Year - Mohammad Mosadegh - Challenge of the East</w:t>
      </w:r>
    </w:p>
    <w:p w:rsidR="00055F84" w:rsidRDefault="00055F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TIME      -       Jan. 7, 1952</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upon a time, in a mountainous land between Baghdad and the Sea of Caviar, there lived a nobleman. This nobleman, after a lifetime of carping at the way the kingdom was run, became Chief Minister of the realm. In a few months he had the whole world hanging on his words and deeds, his jokes, his tears, his tantrums. Behind his grotesque antics lay great issues of peace or war, progress or decline, which would affect many lands far beyond his mountains.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methods of government were peculiar. For example, when he decided to shift his governors, he dropped into a bowl slips of paper with the names of provinces; each governor stepped forward and drew a new province.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all ministers, the old nobleman was plagued with friends, men-of-influence, patriots and toadies who came to him with one proposal or another. His duty bade him say no to these schemes, but he was such a kindly fellow (in some respects) that he could not bear to speak the word. He would call in his two-year-old granddaughter and repeat the proposal to her, in front of the visitor.</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she was a well- brought-up little girl, to all these propositions she would unhesitatingly say no. "How can I go against  her?" the old gentleman would ask. After a while, the granddaughter, bored with the routine, began to answer yes occasionally. This saddened the old man, for it ruined his favorite joke, and might even have made the administration of the country more inefficient than it was already.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foreign affairs, the minister pursued a very active policy -- so active that in the chancelleries of nations thousand of miles away, lamps burned late into the night as other governments tried to find a way of satisfying his demands without ruining themselves. Not that he ever threatened war. His weapon was the threat of his own political suicide, as a willful little boy might say, "If you don't give me what I want I'll hold my breath until I'm blue in the face. Then you'll be sorry." In this way, the old nobleman became the most world-renowned man his ancient race had produced for centuries.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way, too, he increased the danger of a general war among nations, impoverished his country and brought it and some neighboring lands to the very brink of  disaster. In the year of his rise to power, he was in some ways the most noteworthy figure on the world scene. Not that he was the best or the worst or the strongest, but because his rapid advance from obscurity was attended by the greatest stir. The stir was not only on the surface of events: in his strange way, this strange old man represented one of the most profound problems of his time. Around this dizzy old wizard swirled a crisis of human destiny.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Mohammed Mossadegh, Premier of Iran in the year 1951. He was the Man of the Year. He put Scheherazade in the petroleum business and oiled the wheels of chaos. His acid tears dissolved one of the remaining pillars of a once great empire. In his plaintive, singsong voice he gabbled a defiant challenge that sprang out of a hatred and envy almost incomprehensible to the West.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millions inside and outside of Iran whom Mossadegh symbolized and spoke for, and whose fanatical state of mind he had helped to create. They would rather see their own nations fall apart than continue their present relations with the West. Communism encouraged this state of mind, and stood to profit hugely from it.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Communism did not create it. The split between the West and the non-Communist East was a peril all its own to world order, quite apart from Communism. Through 1951 the Communist threat to the world continued; but nothing new was added -- and little subtracted. The news of 1951 was this other danger in the Near and Middle East. In the center of that spreading web of news was Mohammed Mossadegh.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Mossadegh, by Western standards an appalling caricature of a statesman, was a fair sample of what the West would have to work with in the Middle East. To sit back and deplore him was to run away from the issue. For a long time, relations with the Middle East would mean relations with men </w:t>
      </w:r>
      <w:r>
        <w:rPr>
          <w:rFonts w:ascii="Arial" w:hAnsi="Arial" w:cs="Arial"/>
          <w:sz w:val="20"/>
          <w:szCs w:val="20"/>
        </w:rPr>
        <w:lastRenderedPageBreak/>
        <w:t xml:space="preserve">such as Mossadegh, some better, some much worse.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Iranian George Washington was probably born in 1879 (he fibs about his age). His mother was a princess of the Kajar dynasty then ruling Persia; his father was for 30 years Finance Minister of the country. Mohammed Mossadegh entered politics in 1906. An obstinate oppositionist, he was usually out of favor and several times exiled. In 1919, horrified by a colonial-style treaty between Britain and Persia, he hardened his policy into a simple Persia-for-the-Persians slogan. While the rest of the world went through Versailles, Manchuria, the Reichstag fire, Spain, Ethiopia and a World War, Mossadegh kept hammering away at his single note. Nobody in the West heard him.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heard him in 1951, however. On March 8, the day after Ali Razmara, Iran's able, pro-Western Premier, was assassinated, Mossadegh submitted to the Iranian Majilis his proposal to nationalize Iran's oil. In a few weeks a wave of anti-foreign feeling, assisted by organized terrorism, swept him into the premiership.</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Anglo-Iranian Oil Co., most of whose stock is owned by the British government, had been paying Iran much less than the British Government took from the company in taxes. The U.S. State Department warned Britain that Iran might explode unless it got a better deal, but the U.S. did not press the issue firmly enough to make London listen. Mossadegh's nationalization bill scared the company into concessions that were made too late. The Premier, whose mind runs in a deep single track, was committed to nationalization -- and much to the surprise of the British, he went through with it, right down to the expulsion of the British technicians without whom the Iranians cannot run the Abadan refinery.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Results: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the West lost the Iranian oil supply;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 Iranian government lost the oil payments;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this loss stopped all hope of economic progress in Iran and disrupted the political life of the country;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in the ensuing confusion, Iran's Tudeh (Communist) Party made great gains which it hoped to see reflected in the national elections, due to begin this week.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Mossadegh does not promise his country a way out of this nearly hopeless situation. He would rather see the ruin of Iran than give in to the British, who, in his opinion, corrupted and exploited his country. He is not in any sense pro-Russian, but he intends to stick to his policies even though he knows they might lead to control of Iran by the Kremlin.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suicidal quality of this fanaticism can be seen in the two men closest to Mosadegh in politics.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Ayatulla Kashani is a zealot of Islam who has spent his life fighting the infidel British in Iraq and Iran. He controls the Teheran mobs (except those controlled by the Communists), and his terrorist organization assassinated [Premier] Razmara.</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Hussein Makki controls the oil-rich province of Khuzistan, in which the Abadan refinery lies. When the British got out, Mossadegh put Makki in charge of the oil installations. Makki's view on oil: close up the wells, pull down the refinery and forget about it. Neither Makki, Kashani nor Mossadegh has ever shown any interest in rational plans for the economic reform and development of their country.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the crisis through which Iran is passing depresses Mossadegh to the point of tears and fainting spells. Just as often, he seems to regard the state of affairs with a light heart. When he came to the U.S. to plead his cause, mercurial Mossadegh was so ready with quips, anecdotes and laughter that Secretary Achseon thought the visitor should be reminded of the gravity of the situation. At a Blair House luncheon where Mossadegh was guest of honor, Acheson told a story: a wagon train, crossing the American West, was attacked by Indians. A rescue party found the wagons burned, and the corpses of the pioneers lying around them. The only man still alive lay under a wagon, with an arrow through his back. "Does it hurt?" he was asked. The dying man whispered: "Only when I laugh." Acheson looked pointedly at Mossadegh -- who just doubled up with appreciative laughter.</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Iranians accept Mossadegh's suicidal policy is a measure of the hatred of the West -- and especially the hatred of Britain -- in the Near and Middle East. The Iranian crisis was still bubbling when Egypt exploded with the announcement that it was abrogating its 1936 treaty with Britain. The Egyptian government demanded that British troops get off the soil of Egypt. Since the British were guarding the Suez Canal, they refused. The Egyptians rioted, perhaps in the belief that the U.S., which had opposed any use of force in Iran, would take the same line in Egypt. The U.S., however, backed the British, and the troops stayed. But now they can only stay in Egypt as an armed occupation of enemy territory.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Mossadegh's rise, U.S. correspondents have been swarming over the Near and Middle East. Their general consensus is that: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 The British position in the whole area is hopeless. They are hated and distrusted almost everywhere. The old colonial relationship is finished, and no other power can replace Britain.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If left to "work out their own destiny" without help, the countries of the Middle East will disintegrate. The living standard will drop and political life become even more chaotic. (Half a dozen important political leaders in the Near and Middle East were assassinated during 1951.)</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Left to themselves, these countries will reach the point where they will welcome Communism.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The U.S., which will have to make the West's policy in the Middle East, whether it wants to or not, as yet has no policy there. The U.S. pants along behind each crisis, tossing a handful of money here, a political concession there. At the height of the Egyptian crisis (the worst possible moment), the U.S., Britain, France and Turkey invited Egypt to join a defense pact. The invitation was promptly rejected.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5) Americans and Britons in the Near and Middle East spend a large part of their energies fighting each other.   .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much easier to see past U.S. mistakes, sins of omission and commission, than to plot a wise and firm future course. The U.S. success in Turkey, gratifying as it is, does not give much guidance on Western policy in the Arab countries and in Iran. Turkey had passed through a drastic process of modernization which in most of the Moslem world is still to come. But the U.S. cannot wait for Kemal Ataturks who are not in sight.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West's new relationship with the East must start at a much deeper level than efforts at economic help or military alliance. Economic and military cooperation will be of little use unless they are part of a Western approach that involves the whole range of culture -- especially religion and law.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leadership of the non-Communist world, the U.S. has some dire responsibilities to shoulder. One of them is to meet the fundamental moral challenge posed by the strange old wizard who lives in a mountainous land and who is, sad to relate, the Man of 1951.</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http://www.farhangsara.com/man_of_the_year.htm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SriLankan government accuses Tamil party CM candidate of violating election rules</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Sept. 21, 2013</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Sri Lankan government today said the Chief Ministerial candidate of the main Tamil party Tamil National Alliance (TNA) violated election rules on the eve of election   . . .   The Chief Ministerial candidate, former Supreme Court judge C.V Vigneswaran has given an interview for about one hour to the Tamil TV Channel "Thanthi" Friday and has indulged in  . . .  election propaganda activities [speaking] extremist views [in order] to mislead the Tamil people, the government charged.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Sri Lanka election laws all election propaganda activities have to be halted 48 hours before the elections    . . .    However, the Election Commissioner has allowed publication, televising and broadcasting of news   . . .   relating to rallies    . . .  [during the 48 hours]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the report, Vigneswaran has said that the LTTE was a right organization and the LTTE cadres through their sacrifice of life focused attention of the international community to their just cause. Earlier, in an interview to a Indian newspaper, the Tamil party candidate compared a venerated national hero   . . .  to the slain terrorist LTTE leader Prabhakaran.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http://www.seithy.com/breifNews.php?newsID=93401&amp;category=EnglishNews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Regime’s Death Squad Murdered Pedra Huillca</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Cesar Hildebrand     -    Aug. 2, 1998</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knowing in advance that its puppet government has executed labor leader Pedro Huillca, the U.S. Department of State (Dispatch "Peru's Brutal Insurgency: SL, 1992-1993) still accused the Communist Party of Perú (PCP) of having carried out this crime.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this CIA dispatch [“Peru's Brutal Insurgency” - SL, 1992-1993], the PCP's People's Guerrilla Army has also executed "hundreds of workers," among them miner leader Saul Cantoral, textile worker Enrique Castilla, and others. This deception and lie, which has been part of the psychological operations (a component of the U.S. Low Intensity Warfare tactic against the people of Perú), was quickly disseminated "as fact" by the outlets of imperialism and world revisionism.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United States, the campaign was promoted by the U.S. government's Human Rights Branch (Right's Watch/American), and by a sinister Trotskyte sect known as the Socialist Workers' Party (SWP), who trying to smear the international prestige of the PCP, even toured a couple of discredited Peruvian "leftist Congressmen" (Hugo Blanco and Diez Canseco) in U.S. cities to slander the Peruvian revolution. Today, the evidence is clear and convincing that the union leaders and workers listed in that report, were publicly murdered by the regime's death squads run by the intelligence services (SIN and/or SIE) under orders of Yankee imperialism.</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http://medialeft.net/main/index.php?option=com_content&amp;amp;view=...&amp;amp;limitstart=705</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Death at birth: The political, economic and social Impact of the decolonization and perpetual, neocolonial control of Congo.</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Locke, Jason B., Department of History, DePaul University, Chicago, Illinois   -   June, 2010</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Via Sapientiae: The Institutional Repository at DePaul University</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Theses and Dissertations College of Liberal Arts and Social Sciences, 8-2010</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predatory policies of Western powers, especially the United States, in regards to the decolonization and subsequent neocolonial stranglehold of Congo created a situation in which any nationalistic, truly independent-minded government would be stifled and ultimately fail — a failure documented and exacerbated by the United States Central Intelligence Agency.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added pressure of a poorly-educated elite class of leaders and military and diplomatic intervention surrounding Congo’s independence in the summer of 1960, questions emerge as to the level of success any new, indigenous government could achieve.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Did Western powers, particularly the United States, destroy the independent, fledgling Congolese government due to a fear of communist build-up in Congo during the height of theCold War; or, did these powers use the Cold War as a pretext for destabilizing intervention and exploitation of the mineral wealth of Congo at the expense of any popular leader prepared to combat continued exploitation?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 the Congo destined to fail? Was death at birth inevitable?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policies of intervention, often clandestine, by foreign powers constitute a visible trend, with slight variances, in all stages of Congolese political and economic development since 1960. Congo has yet to develop a functioning, sovereign government, and as a result, the country continually harbors violence and controversy, and the people of Congo remain the victims — ravaged by the civil war, corruption in government and destitution.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Belgian decolonization policies and Western intervention during the first days of Patrice Lumumba’s ascension to power crippled his ability to unify the myriad ethnic groups within ongo, ultimately leading to a push for federalism, and eventually, the secession of the Katanga and Kasai regions. This secession — which was financially and militarily backed by the Belgian and American governments and private mining interests — led to the elimination of Lumumba’s unification efforts, the horrific end to his life, and the rise of Joseph Mobutu’s Western-friendly, three-decade reign of Congolese exploitation as well as the pilfering of Congo’s abundant natural resources.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selfish, Western decolonization policies that Lumumba’s regime failed to prevent manifested in the form of Mobutu’s neocolonial dictatorship and still impair Congolese independence today. This trend will continue unless a As Fanon stated in 1961:</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“Taking advantage of their strategic position in the cold war struggle, these countries sign agreements and commit themselves. The formerly colonized territory is now turned into an economically dependent country. The former colonizer, which has kept intact and, in some cases, reinforced its colonial marketing channels, agrees to inject small doses into the independent nation's budget in order to sustain it.</w:t>
      </w:r>
    </w:p>
    <w:p w:rsidR="00055F84" w:rsidRDefault="00055F84">
      <w:pPr>
        <w:widowControl w:val="0"/>
        <w:autoSpaceDE w:val="0"/>
        <w:autoSpaceDN w:val="0"/>
        <w:adjustRightInd w:val="0"/>
        <w:spacing w:after="0" w:line="240" w:lineRule="auto"/>
        <w:ind w:left="576" w:right="576"/>
        <w:rPr>
          <w:rFonts w:ascii="Arial" w:hAnsi="Arial" w:cs="Arial"/>
          <w:sz w:val="18"/>
          <w:szCs w:val="18"/>
        </w:rPr>
      </w:pPr>
    </w:p>
    <w:p w:rsidR="00055F84" w:rsidRDefault="00055F84">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Now that the colonial countries have achieved their independence the world is faced with the bare facts that makes the actual state of the liberated countries even more intolerable;” and </w:t>
      </w:r>
    </w:p>
    <w:p w:rsidR="00055F84" w:rsidRDefault="00055F84">
      <w:pPr>
        <w:widowControl w:val="0"/>
        <w:autoSpaceDE w:val="0"/>
        <w:autoSpaceDN w:val="0"/>
        <w:adjustRightInd w:val="0"/>
        <w:spacing w:after="0" w:line="240" w:lineRule="auto"/>
        <w:ind w:left="576" w:right="576"/>
        <w:rPr>
          <w:rFonts w:ascii="Arial" w:hAnsi="Arial" w:cs="Arial"/>
          <w:sz w:val="18"/>
          <w:szCs w:val="18"/>
        </w:rPr>
      </w:pPr>
    </w:p>
    <w:p w:rsidR="00055F84" w:rsidRDefault="00055F84">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“In fact the Western financiers are wary of any form of risk taking. Their demands, therefore, are for political stability and a peaceful social climate which are impossible to achievegiven the appalling situation of the population as a whole in the aftermath of independence. In their search, then, for a guarantee which the former colony cannot vouch for, they demand that certain military bases be kept on and the young nation enter into military and economic agreements. The private companies put pressure on their own government to ensure that the troops stationed in these countries are assigned to protecting their interests. As a last resort these companies require their government to guarantee their investments in such and such an underdeveloped region;” Frantz Fanon, The Wretched of the Earth, Richard Philcox, trans. (New York: Grove Press, 2004): 60.</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Kwame Nkrumah defined neocolonialism in much the same way.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Regarding Lumumba’s assassination, Nzongola-Ntalaja infers the CIA’s compliance, yet he does not analyze the sources themselves; Georges Nzongola-Ntalaja, The Congo from Leopold to Kabila: A People's History (London and New York: Zed Books, 2007): 106-12.</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Ludo De Witte asserts that Lumumba’s elimination showed signs of neocolonialism; De Witte goes so far as to say that the Cold War masked the real intentions of Western intervention — the Soviets had no intention of supporting Lumumba’s cause; however, the Cold War did provide the pretext to exert Western hegemony in the region; Ludo De Witte, The Assassination of Lumumba (London: Verso, 2002): XV.</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three works constitute scholarship with a proclivity for declaring Western exploitation as the cause of Congo’s ill-fated history — all mention the CIA’s involvement in the disruption of an organic selection of leadership (i.e., the assassination of Patrice Lumumba); however, none examine the CIA correspondences explaining the perceived need for Western intervention; David Renton, David Seddon, and Leo Zeilig.</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Congo: Plunder and Resistance (London and New York: Zed Books, 2007): 96-100; Ch. Didier Gondola, The History of the Congo (Westport, CT: Greenwood Press, 2002): 20; Jeanne M. Haskin, The Tragic State of the Congo: From Decolonization to Dictatorship (New York: Algora Publishing, 2005): 26-7.</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Hargreaves, in his student textbook Decolonization in Africa, explores the British, French and Belgian policies affecting decolonization. Relying on mostly secondary material, this work represents more of a synthesis of recent scholarship; however, it does make use of extensive British and French archives for the period of the 1950s, and Hargreaves does assert the CIA’s “increasingly unscrupulous and active” participation in the fracas of Congolese decolonization.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source for this assertion is Stephen R. Weissman, “CIA Covert Action in Zaire and Angola: Patterns and Consequences,” Political Science Quarterly, Vol. 94, No. 2 (Summer, 1979): 263-286. Weissman analyzed the Senate Select Committee on Intelligence Interim Report: Alleged Assassinations Plots Involving Foreign Leaders, 94th Cong., 1st sess., November 20, 1975, which did not contain several classified correspondences because of the national security risk involved.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recent historiographical essays assess the state Congo studies; as posited by Jennifer Wenzel in “Remembering the Past’s Future: Anti-Imperialist Nostalgia and Some Versions of the Third World,” and Yaël Simpson Fletcher in “‘History Will One Day Have Its Say’: New Perspectives on Colonial and Post colonial Congo, the state of the field rests in the analysis of internal politics and social movements of the postcolonial state of Congo.    . . .</w:t>
      </w: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20"/>
          <w:szCs w:val="20"/>
        </w:rPr>
        <w:t>--- http://via.library.depaul.edu/cgi/viewcontent.cgi?article=1042&amp;context=etd</w:t>
      </w: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The Life and Assassination of Patrice Lumumba</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Between 1961 and 1973, six African independence leaders were assassinated by their ex-colonial rulers, including Patrice Lumumba of Congo. Very few Black men and women in America have heard of Lumumba, but his might have been one of the most significant political assassinations of the 20th century.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Patrice Émery Lumumba (2 July 1925 – 17 January 1961) was the first legally elected Prime Minister of the Republic of the Congo after he helped win its independence from Belgium in June 1960. Only twelve weeks later, Lumumba’s government was overthrown and destroyed in a United Nations backed coup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Proof of US Involvement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CIA agent John Stockwell gave this interview to Democracy Now! nearly 5 years after the assassination.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Stockwell: The CIA had developed a program to assassinate Lumumba, under Devlin’s encouragement and management. The program they developed, the operation, didn’t work. They didn’t follow through on it. It was to give poison to Lumumba. And they couldn’t find a setting in which to get the poison to him successfully in a way that it wouldn’t appear to be a CIA operation. I mean, you couldn’t invite him to a cocktail party and give him a drink and have him die a short time later, obviously. And so, they gave up on it. They got cold feet. And instead, they handled it by the chief of station talking to Mobutu about the threat that Lumumba posed, and Mobutu going out and killing Lumumba, having his men kill Lumumba.</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Interviewer: What about the CIA’s relationship with Mobutu? Were they paying him money?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Stockwell: Yes, indeed. I was there in 1968 when the chief of station told the story about having been, the day before that day, having gone to make payment to Mobutu of cash — $25,000 — and Mobutu saying, “Keep the money. I don’t need it.” And by then, of course, Mobutu’s European bank account was so huge that $25,000 was nothing to him.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decision to kill Lumumba came straight from the top: President Eisenthow himself. Forty years after the murder of the Congolese independence leader Patrice Lumumba, evidence has emerged in Washington that President Dwight Eisenhower directly ordered the CIA to “eliminate” him. The evidence comes in a previously unpublished 1975 interview with the minute-taker at an August 1960 White House meeting of Eisenhower and his national security advisers on the Congo crisis. The minute-taker, Robert Johnson, said in the interview that he vividly recalled the president turning to Allen Dulles, director of the CIA, “in the full hearing of all those in attendance, and saying something to the effect that Lumumba should be eliminated”.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Mr Johnson recalled: “There was stunned silence for about 15 seconds and the meeting continued.”   . . .</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http://unitedblackamerica.com/life-assassination-patrice-lumumba/</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America and the World</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Philippines 1898-1910: The US "bought" the Philippines from a defeated Spain. When Filipinos attempted to call for their independence, the US sent over the army and killed over 600,000. Filipinos were rounded up into concentration camps, tortured, and orders were given to "kill everyone over the age of ten." Whole villages were lined up on bridges and shot into rivers. The atrocities were enough to inspire a vibrant anti-imperialist movement back in the United States.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Congo 1961: Shortly after the Congo wins its independence from the US-supported rule of Belgium, anti-colonial leader Patrice Lumumba is elected president. Eisenhower immediately orders his assassination. Lumumba is killed. The US then backs dictator Joseph Mobutu Sese-Seko, who tortures and kills his critics.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Additional Information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Sources are from the History Is A Weapon library, including, but not limited to: </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Blum (Author of Killing Hope), Noam Chomsky (whose work is quoted extensively here), Ward Churchill (especially on the Justice of Roosting Chickens), NACLA, Zoltan Grossman, Z Magazine.</w:t>
      </w:r>
    </w:p>
    <w:p w:rsidR="00055F84" w:rsidRDefault="00055F84">
      <w:pPr>
        <w:widowControl w:val="0"/>
        <w:autoSpaceDE w:val="0"/>
        <w:autoSpaceDN w:val="0"/>
        <w:adjustRightInd w:val="0"/>
        <w:spacing w:after="0" w:line="240" w:lineRule="auto"/>
        <w:rPr>
          <w:rFonts w:ascii="Times New Roman" w:hAnsi="Times New Roman" w:cs="Times New Roman"/>
          <w:sz w:val="10"/>
          <w:szCs w:val="10"/>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http://www.historyisaweapon.com/defcon2/world.html</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Ben Bernanke’s amazing testimony of lies to Congress</w:t>
      </w:r>
    </w:p>
    <w:p w:rsidR="00055F84" w:rsidRDefault="00055F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Roger M. Mitchell      -   Feb. 3, 2012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wonders what Ben Bernanke’s motives are. Of all people on earth, he should understand Monetary Sovereignty, and often he shows signs of getting it. Then he comes out with the most blatant, ridiculous stories, and I can’t imagine why.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Here’s an example in yesterday’s CNBC on-line article: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8"/>
          <w:szCs w:val="8"/>
        </w:rPr>
      </w:pP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Rising Deficits Pose Major Threat to Economy: Bernanke</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Thursday, 2 Feb 2012, By: Jeff Cox, CNBC.com Senior Writer</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32"/>
          <w:szCs w:val="32"/>
        </w:rPr>
      </w:pP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Rising federal budget deficits are posing a significant threat to the U.S. economy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and are likely to cause a crisis if not brought under control, Federal Reserve Chairman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Ben Bernanke told Congress Thursday.</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Calling the situation “unsustainable,” the central bank leader pointed out that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surging health-care costs, along with the high level of government spending used to pull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the economy out of recession, are creating fiscal hazard.</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“Having a large and increasing level of government debt relative to national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income runs the risk of serious economic consequences,” Bernanke told the House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18"/>
          <w:szCs w:val="18"/>
        </w:rPr>
      </w:pPr>
      <w:r>
        <w:rPr>
          <w:rFonts w:ascii="Arial" w:hAnsi="Arial" w:cs="Arial"/>
          <w:sz w:val="18"/>
          <w:szCs w:val="18"/>
        </w:rPr>
        <w:t xml:space="preserve">  Budget Committee. “Over the longer term, the current trajectory of federal debt threatens </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 xml:space="preserve">  to crowd out private capital formation and thus reduce productivity growth.”</w:t>
      </w:r>
    </w:p>
    <w:p w:rsidR="00055F84" w:rsidRDefault="00055F84">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720" w:right="720"/>
        <w:rPr>
          <w:rFonts w:ascii="Arial" w:hAnsi="Arial" w:cs="Arial"/>
          <w:sz w:val="8"/>
          <w:szCs w:val="8"/>
        </w:rPr>
      </w:pPr>
    </w:p>
    <w:p w:rsidR="00055F84" w:rsidRDefault="00055F84">
      <w:pPr>
        <w:widowControl w:val="0"/>
        <w:autoSpaceDE w:val="0"/>
        <w:autoSpaceDN w:val="0"/>
        <w:adjustRightInd w:val="0"/>
        <w:spacing w:after="0" w:line="240" w:lineRule="auto"/>
        <w:rPr>
          <w:rFonts w:ascii="Arial" w:hAnsi="Arial" w:cs="Arial"/>
          <w:sz w:val="18"/>
          <w:szCs w:val="18"/>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is wrong to the extreme. Tellingly, he doesn’t say exactly what the “significant threat,” “financial hazard” or “serious economic consequences” would be.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Will the U.S. be unable to service its debt? No, being Monetarily Sovereign, the U.S. has the unlimited ability to service any debt of any size.   . . .</w:t>
      </w:r>
    </w:p>
    <w:p w:rsidR="00055F84" w:rsidRDefault="00055F84">
      <w:pPr>
        <w:widowControl w:val="0"/>
        <w:autoSpaceDE w:val="0"/>
        <w:autoSpaceDN w:val="0"/>
        <w:adjustRightInd w:val="0"/>
        <w:spacing w:after="0" w:line="240" w:lineRule="auto"/>
        <w:rPr>
          <w:rFonts w:ascii="Arial" w:hAnsi="Arial" w:cs="Arial"/>
          <w:sz w:val="10"/>
          <w:szCs w:val="1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19"/>
          <w:szCs w:val="19"/>
        </w:rPr>
        <w:t xml:space="preserve">      ---https://rodgermmitchell.wordpress.com/2012/02/03/ben-bernankes-amazing-testimony-of-lies-to-congress/</w:t>
      </w: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Ungoverned Spaces: AFRICOM and U.S. Foreign Policy in Africa</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Casey McNeill   -    Honors Capstone, Spring 2008</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Completed in fulfillment of University Honors in International Studies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Adviser: Patrick Thaddeus Jackson      . . .     American University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[Kevin C.] Dunn argues that U.S. policy during the 1960 political crisis can be understood as the product of a convergence of familiar colonial-era discourses about the Congo’s backwardness and savagery with dominant Cold War narratives about an imminent Soviet threat.   . . .   Perceived backwardness meant that the Congo was particularly vulnerable to the Soviets. The U.S. interpreted the crisis in the Congo as an imminent threat to United States security, and the establishment of an anti-Soviet leader in the Congo became a national security priority.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Media coverage perpetuated an image of the Congo as ungoverned and politically immature and incompetent and justified U.S. interference in that nation’s political affairs. Thus, the CIA’s involvement in the assassination of populist leader Patrice Lumumba and U.S. support of the pro-American leader Mobutu Sese Seko was justified according to these assumptions; that (a) the Congolese were politically incompetent and (b) a Soviet threat was imminent.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Nixon and Reagan policies toward apartheid South Africa illustrate the policy consequences of combining images of an ungovernable, black Africa with Cold War discourses. Both administrations used National Security Study Memorandum 39 to guide their South African policies.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Memorandum presents a similar perspective to that of the U.S. response to the Congo crisis. It describes black resistance to the apartheid regime (led by the African National Congress) as a potential source of chaos, which would present an opportunity for Soviet expansion, and advocates working with the white minority government, which it presents as a source of stability.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There is no hope for the Blacks to gain the political rights they seek through violence, which will only lead to chaos and increased opportunities for the communists…We can, by selective relaxation of our stance toward the white regimes, encourage some modification of their current racial and colonial policies…At the same time we would take diplomatic steps to convince the black states of the area that their current liberation and majority rule aspirations in the south are not attainable by violence and that their only hope for a peaceful and prosperous future lies in closer relations with white dominated states.[73]</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excerpt demonstrates an effort by U.S. policy makers to delegitimate the grievances of South African resistance movements    . . .   The Nixon and Reagan administrations consistently defended their support for the white regimes in southern Africa (which included using CIA operatives to spy on ANC “terrorist” activities in Mozambique) by claiming that white rule was necessary to maintain stability and that black rule would lead to chaos and Soviet expansion.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Within this narrative was a racist interpretation of the appropriate place for blacks in southern Africa. This racism is explicitly present in the following statement by Jeane Kirkpatrick, foreign policy advisor to President Reagan and ambassador to the UN. In response to concerns about the suffering of black South Africans, she said,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The miseries of traditional life are familiar, they are bearable to ordinary people who, growing up in the society, learn to cope, as children born to untouchables in India acquire the skills and attitudes necessary for their survival in the miserable roles they are destined to fill.[74]</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excerpt claims that blacks have a natural place in society, and that place is not in government or in a politics of resistance. Kirkpatrick dismisses black resistance across South Africa, which clearly demonstrated a refusal to “cope” and a rejection of the idea that there were “roles they are destined to fill”.</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Fitzpatrick wants to suggest that political resistance was a marginal response in a society in which blacks accepted their place at the bottom, outside of the political process.    . . .</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http://aladinrc.wrlc.org/bitstream/1961/4767/1/Casey%20McNeill,%202008S.doc</w:t>
      </w: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Preventing Independent Action in the Congo</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Barker    -   May 11th, 2010</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Democratic Republic of the Congo (DRC) “is a country of tragedy and promise on a massive scale.” So begins the foreword to the Center for Preventive Action’s report “Congo: Securing Peace, Sustaining Progress” (Council on Foreign Relations, 2008).    .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 of this report, former USAID mission director for the Congo (2001-04) Anthony Gambino, provides a whitewash of the Congo’s recent history.    . . .   He forgets to mention the how the US facilitated    . . .   horrific abuses by assassinating their democratically elected leader Patrice Lumumba in 1961.</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not to say that Gambino is totally uncritical of foreign interventions in the region, as he notes how Mobutu Sese Seko, who “overthrew the elected government” with “heavy support from key Western allies, including the United States” came to power in 1965 and remained their till 1997 acting as a critical “ally of the West.”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http://dissidentvoice.org/2010/05/preventing-independent-action-in-the-congo/</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140" w:line="280" w:lineRule="atLeast"/>
        <w:ind w:right="180"/>
        <w:rPr>
          <w:rFonts w:ascii="Times New Roman" w:hAnsi="Times New Roman" w:cs="Times New Roman"/>
          <w:sz w:val="28"/>
          <w:szCs w:val="28"/>
        </w:rPr>
      </w:pPr>
    </w:p>
    <w:p w:rsidR="00055F84" w:rsidRDefault="00055F84">
      <w:pPr>
        <w:widowControl w:val="0"/>
        <w:autoSpaceDE w:val="0"/>
        <w:autoSpaceDN w:val="0"/>
        <w:adjustRightInd w:val="0"/>
        <w:spacing w:after="140" w:line="280" w:lineRule="atLeast"/>
        <w:ind w:right="180"/>
        <w:rPr>
          <w:rFonts w:ascii="Times New Roman" w:hAnsi="Times New Roman" w:cs="Times New Roman"/>
          <w:sz w:val="28"/>
          <w:szCs w:val="28"/>
        </w:rPr>
      </w:pPr>
    </w:p>
    <w:p w:rsidR="00055F84" w:rsidRDefault="00055F84">
      <w:pPr>
        <w:widowControl w:val="0"/>
        <w:autoSpaceDE w:val="0"/>
        <w:autoSpaceDN w:val="0"/>
        <w:adjustRightInd w:val="0"/>
        <w:spacing w:after="140" w:line="280" w:lineRule="atLeast"/>
        <w:ind w:right="180"/>
        <w:rPr>
          <w:rFonts w:ascii="Arial" w:hAnsi="Arial" w:cs="Arial"/>
          <w:sz w:val="24"/>
          <w:szCs w:val="24"/>
        </w:rPr>
      </w:pPr>
    </w:p>
    <w:p w:rsidR="00055F84" w:rsidRDefault="00055F84">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Soviet attempts to influence African states suffered two notable setbacks in the 1960s. In the Congo (now Zaire) Soviet-supported Premier Patrice Lumumba was killed in an uprising in 1961, and in Ghana in 1966 Kwame Nkrumah and his Communist government were overthrown and Soviet technicians were expelled.</w:t>
      </w:r>
    </w:p>
    <w:p w:rsidR="00055F84" w:rsidRDefault="00055F8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In the 1970s, however, with the aid of Cuban troops, the USSR placed friends in power in Angola and assisted Ethiopia in driving back Somalians. It supported the antigovernment Patriotic Front in Rhodesia (now Zimbabwe) and similar groups in South Africa. These and other developments alarmed the West as a new form of Soviet imperialism and a new approach to increasing Soviet power in the Middle East. </w:t>
      </w:r>
      <w:r w:rsidRPr="00215A18">
        <w:rPr>
          <w:rStyle w:val="FootnoteReference"/>
        </w:rPr>
        <w:footnoteReference w:id="2"/>
      </w:r>
    </w:p>
    <w:p w:rsidR="00055F84" w:rsidRDefault="00055F84">
      <w:pPr>
        <w:widowControl w:val="0"/>
        <w:autoSpaceDE w:val="0"/>
        <w:autoSpaceDN w:val="0"/>
        <w:adjustRightInd w:val="0"/>
        <w:spacing w:after="140" w:line="280" w:lineRule="atLeast"/>
        <w:ind w:right="180"/>
        <w:rPr>
          <w:rFonts w:ascii="Arial" w:hAnsi="Arial" w:cs="Arial"/>
          <w:sz w:val="24"/>
          <w:szCs w:val="24"/>
        </w:rPr>
      </w:pPr>
    </w:p>
    <w:p w:rsidR="00055F84" w:rsidRDefault="00055F8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4"/>
          <w:szCs w:val="24"/>
        </w:rPr>
        <w:tab/>
      </w:r>
      <w:r>
        <w:rPr>
          <w:rFonts w:ascii="Arial" w:hAnsi="Arial" w:cs="Arial"/>
          <w:sz w:val="20"/>
          <w:szCs w:val="20"/>
        </w:rPr>
        <w:t>President Kasavubu, on September 29, transferred executive and administrative authority of the Congo to the College of High Commissioners, the caretaker government sponsored by Mobutu. In November the UN General Assembly voted to seat the Kasavubu delegation.</w:t>
      </w:r>
    </w:p>
    <w:p w:rsidR="00055F84" w:rsidRDefault="00055F84">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Shortly afterwards, Lumumba escaped from his UN-guarded villa in Léopoldville. He was captured the same day and was told by Mobutu that he would have to stand trial for inciting the Congolese army to rebellion.</w:t>
      </w:r>
    </w:p>
    <w:p w:rsidR="00055F84" w:rsidRDefault="00055F8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On December 13, 1960, Antoine Gizenga, former deputy premier in the Lumumba government, proclaimed himself premier and designated Stanleyville (now Kisangani) as the capital of the Congo. Within the next few months his government was recognized by most Communist and Arab nations and by Ghana. On January 9, 1961, pro-Lumumba soldiers invaded northern Katanga, and the UN Congo Command sent troops there to prevent outbreak of civil war.</w:t>
      </w:r>
    </w:p>
    <w:p w:rsidR="00055F84" w:rsidRDefault="00055F8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 xml:space="preserve">President Kasavubu replaced the caretaker government of Mobutu in February with a new provisional government including members of the former parliament, with Joseph Ileo as premier. Lumumba, who had been imprisoned in Katanga, escaped and was killed while in flight (February 12). It was not established clearly who was responsible for his death. </w:t>
      </w:r>
      <w:r w:rsidRPr="00215A18">
        <w:rPr>
          <w:rStyle w:val="FootnoteReference"/>
        </w:rPr>
        <w:footnoteReference w:id="3"/>
      </w: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4"/>
          <w:szCs w:val="24"/>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Imperial Designs: Theological Ethics and the Ideologies of International Politics</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Gary Dorrien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1920s most of the social gospel movement converted to    . . .    principled anti-interventionism. Social gospelers such as Harry Emerson Fosdick, George Buttrick, Kirby Page, and Georgia Harkness were internationalists, not isolationists; they supported international cooperation and the League of Nations. As Christian pacifists, however, they contended that war is always evil, unredemptively destructive, and un-Christian. From the liberal Christian neo-pacifism that Niebuhr attacked, to the isolationist nationalism of the Old Right, to the antiwar radicalism of the New Left in the 1960s, to the antiwar and antiglobalist movements of today, American society has produced sizable movements that oppose military interventions on principle. This persuasion has been too wide-ranging to be called a tradition; but in all its forms it has pressed the much-needed question whether the good is ever served by invading or ruling over one's neighbors.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most prominent advocate of Christian pacifism today is Stanley Hauerwas. For him, the center of Christianity is the community-forming way of Christ that inspires a new kind of corporate spiritual existence in an alien world. Christianity is the messianic community faith of those who inhabit the new aeon, the kingdom of God, in the face of the prevailing principalities and powers. To those who argue that Christian pacifism abandons the church's moral responsibility to maintain a decent social and world order, Hauerwas replies that there is no shortage of Constantinians who want to manage the world in a 'good' way. America's policy institutes and universities are bursting with people who believe they can make the world a better place if they attain power. It is not any part of the church's moral mission to reinforce this disposition, he argues.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Christ-following church is not called to promote democracy or sustain American society, but to live faithfully in the light of Christ's proleptic kingdom, and to oppose war and the war-making power of the state without exception.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http://www.crosscurrents.org/Dorrien0204.htm</w:t>
      </w: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Oil, Power &amp; Empire: Iraq and the U.S. Global Agenda</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Larry Everest   -   Common Courage Press, 2004</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2003 Iraq war was not waged to eliminate “terrorism,” destroy weapons of mass destruction, or liberate the Iraqi people. Instead, it was an unjust war of aggression, conquest and greater empire.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Labeled “Operation Iraqi Freedom” by the United States government, this war instead represented phase two, after the Afghanistan war of October 2001, in a sweeping, multi-dimensional campaign, waged under the rubric of a “war on terror,” aimed at redrawing the world’s geopolitical map in order to extend, strengthen and solidify U.S. imperial dominance.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 is a prize and stepping stone in this audacious grand strategy. Invading and occupying this ancient land are intended to give further momentum to Washington’s unbounded war, tighten America’s grip on the oil-rich Persian Gulf, turn Iraq into a beachhead for controlling and reshaping the entire arc from North Africa to Central Asia, and strengthen the U.S. hand against rivals — current and future.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full dimensions and implications of the 2003 war and the global agenda driving it have largely been hidden from the public, but they are both far-reaching and ominous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Plans are afoot to further accelerate capitalist globalization — by force if need be — further widening the chasm between rich and poor, and entailing new, more direct forms of control over Third World countries. Iraq is a proving ground for these designs.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vision of ongoing war for greater empire has been articulated at the highest levels.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over 60 years, U.S. actions in Iraq and the Persian Gulf have been guided by calculations of global empire, regional domination, and overall control of Persian Gulf oil. As a result, they have never brought liberation, but have instead inflicted enormous suffering and perpetuated oppression. There are deep national, social and class divisions running through the societies of the Middle East, but foreign domination — by the U.S. in particular — remains the main obstacle to a more just social order.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history of foreign intervention in the Persian Gulf demonstrates that grand ambitions of conquest and control are one thing, but realizing them can be quite another. Oppression breeds resistance, actions provoke reactions, and events often careen beyond the control of their initiators in unexpected ways.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to that history that we now turn.</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http://www.worldcantwait.net/materials/OPE-CHAPTER%20ONE.pdf</w:t>
      </w:r>
    </w:p>
    <w:p w:rsidR="00055F84" w:rsidRDefault="00055F84">
      <w:pPr>
        <w:widowControl w:val="0"/>
        <w:autoSpaceDE w:val="0"/>
        <w:autoSpaceDN w:val="0"/>
        <w:adjustRightInd w:val="0"/>
        <w:spacing w:after="0" w:line="240" w:lineRule="auto"/>
        <w:rPr>
          <w:rFonts w:ascii="Times New Roman" w:hAnsi="Times New Roman" w:cs="Times New Roman"/>
          <w:sz w:val="32"/>
          <w:szCs w:val="32"/>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aid and humanitarianism to solidarity: Discourses on development and the realities of exploitation</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Horace Campbell     -    June 16, 2011    -   Pambazuka, Issue 535</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January 2011 marked 50 years since Patrice Lumumba of the Democratic Republic of the Congo (DRC) was assassinated. This assassination represented one of the many examples of efforts to destroy the African self-determination project. In his book on The Assassination of Patrice Lumumba, Ludo de Witte noted that,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murder has affected the history of Africa.    . . .    The assassination of Lumumba and tens of thousands of other Congolese nationalists, from 1960-1965, was the West’s ultimate attempt to destroy the continent’s authentic independent development.”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Ludo de Witte used the metaphor of the revolver with the trigger to connect the militarism that is linked to the plunder that has been going on for the past fifty years with the massive propaganda on “development” and “progress” to cover up the role of the international mining houses and pharmaceuticals in Africa.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Africa, Asia and Latin America the forces of international capitalism plundered the resources of the planet as the imperial reach of capital covered the globe. Today, these international plunderers work with local African allies and in the particular case of the DRC, they work in collaboration with the government of Rwanda in looting the DRC. Rwanda is presented as a serious development partner for Western companies, while the role of the Rwandese leadership in looting the DRC is overlooked.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 ideas of modernization, development and capital accumulation have consistently been deployed to legitimize forms of wealth extraction that impoverished the African peoples.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Adebayo Adedeji, (former head of the UN Economic Commission For Africa) noted that all of the home grown plans of the Africans from the period of the Lagos Plan of Action in 1980, through to the Africa’s Priority Programme for Economic Recovery 1986-1990, African Alternative Framework For Structural Adjustment (1989) to the African Charter for Participation and Development to the African Union had been opposed and sabotaged by the International Financial Institutions and the leaders of the USA and the European Union.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Adedeji drew attention to the fact that “all of the plans for self-reliant development in Africa had been opposed, undermined, and dismissed by the Breton Woods Institutions and Africans were thus impeded from exercising the basic and fundamental right to making decisions about their future.”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Africans came together to form the African Union. International capital has responded by creating a military command, the US Africa Command to divert African energies from economic integration and structural transformation. This new military command has been justified on the grounds of fighting terrorism, safeguarding African resources, protect civilians and provide security for Africans. From time to time the less sophisticated will expose the real objective of the US Africa Command in relationship to the strategic importance of African petroleum resources and the long term plans to challenge Chinese influence in Africa. Behind and beside this remilitarization of Africa are the conservative Christian fundamentalists who want to embark on a new Crusade against Islam. I am gratified that this conference on Exploitation and Resistance is taking place in a space where there are Christians who are not party to this fundamentalism and conservatism.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speak today, NATO and the US Africa Command are involved in the bombing of the people of Libya. The leaders of Britain, France and the United States are so cynical that they do not expect decent citizens to challenge their military attacks on Libya     . . .    This cynicism of the very same leaders who supported the Gaddafi family and held billions of dollars in foreign accounts is reinforced by a new and intensified racist campaign against Africans in Europe.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Decent citizens who followed the close relationship between the Gaddafi family and leaders such as Nicholas Sarkozy and Tony Blair marvel at their crude advocacy on behalf of oil companies. The same Sarkozy who is the cheerleader of the bombing campaign was supported financially by Gaddafi. We are seeing a desperate attempt by a French politician Nicholas Sarkozy to regain his own glory and the glory of France by military interventions that will prop up France as a key player in the changed world economy. French writers will justify these actions in the name of development.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USA, politicians used the code of “organized crime” to send racist messages to voters.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Scholars such as Professor Patricia Daley of Oxford University have written on Humanitarian Bondage. Scholars such as Samir Amin, Patrick Bond, Patricia Daley, Yash Tandon and numerous others have documented the ways in which the poverty and humanitarian discourses conceal real relations of exploitation.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Bank and the IMF as development partners in Africa have been complicit in the chain of exploitation and plunder in Africa.     . . .     Recent articles in Pambazuka have pointed to the February launch of the World Bank's ten-year Strategy document, "Africa's Future and the World Bank's Support.”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Patrick Bond who has written an important book on Looting Africa has drawn attention to the energetic efforts to dominate spaces of development with the International Monetary Fund's Regional Economic Outlook for SubSaharan Africa, the Economic Commission on Africa's upbeat study, the African World Economic Forum's Competitiveness Report, and the African Development Bank's discovery of a vast new "middle class."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Bond’s clear critique draws from decades of writings by Africans in CODESRIA and other fora in Africa who have delegitimized and exposed the World Bank Development strategies of “poverty reduction and alleviation." Today, many of the speakers in this conference on “exploitation and resistance” will expose the intensified exploitation in the era of financialisation where international capitalists are converging on Africa like vultures.    . . .    It is our task to motivate young scholars who do not want to be accomplices of the plunder of Africa under the guise of development.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Hudson, David Harvey, Samir Amin and numerous scholars have been writing on the forms of warfare against the entire planet by the lords of finance. While one understands the radical scholars and their critique, it is now so much clearer that mainstream writers such as Simon Johnson has been writing on the grab of power in what he called a “Quiet Coup.” He later elaborated on the crisis of financial capital in the book, 13 Bankers: The Wall Street Takeover and the Next Financial Meltdown.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clarity that governments are in the service of the bankers and financiers has led to authorities such as the governor of the Bank of England and the Archbishop of Canterbury to call out the government and oppose the austerity measures that promise super exploitation of the working class. In the particular case of the Governor of the Bank of England, he is calling on the people to demonstrate and rise up against the banks.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Spanish Civil War against fascism 1936-1939 international brigades supported those fighting for social Justice. Similarly, during the struggles against apartheid, international solidarity isolated those supporting the mining houses and the racists. Today the revolutionary forces of North Africa and the Middle East is calling for solidarity to confront Western militarism and development experts.    . . .</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http://www.pambazuka.org/en/category/features/74098/print</w:t>
      </w: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Courier New" w:hAnsi="Courier New" w:cs="Courier New"/>
          <w:sz w:val="20"/>
          <w:szCs w:val="20"/>
        </w:rPr>
      </w:pPr>
    </w:p>
    <w:p w:rsidR="00055F84" w:rsidRDefault="00055F84">
      <w:pPr>
        <w:widowControl w:val="0"/>
        <w:autoSpaceDE w:val="0"/>
        <w:autoSpaceDN w:val="0"/>
        <w:adjustRightInd w:val="0"/>
        <w:spacing w:after="0" w:line="240" w:lineRule="auto"/>
        <w:rPr>
          <w:rFonts w:ascii="MS Sans Serif" w:hAnsi="MS Sans Serif" w:cs="MS Sans Serif"/>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Social Order Before and After the Protestant Reformation</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Stang</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my last article, I charged the Protestant Reformation with the main responsibility for the social evils of modern times. I propose to substantiate the indictment in the present paper, by contrasting the social order before the great upheaval in the sixteenth century with the subsequent changes in the different classes of society as the result of the Reformation. My thesis is this: A higher degree of civilization existed among Christian nations before the Reformation than at any time since; the social deterioration of which men complain is the direct result of the Reformation.</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close of the Middle Ages the soil belonged chiefly to nobles, monasteries, and institutions of education and charity. There was, however, a respectable number of landed peasant proprietors. And as the land was constantly increasing in value, so the number of free farmers was steadily rising. The law of heredity protected land properties from being broken up: the eldest son inherited the farm, with the obligation to support the rest of the family. Tenant farmers of those times should not be confounded with serfs, for serfdom no longer existed. Besides the farmer there was the so-called house tenant, who was provided with a small cottage and garden and worked on the farm.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Tenant farmers, or those who paid rent on the land, could not leave the farm without the permission or knowledge of the landlords. But the leases of land were perpetual, and thereby secured one of the greatest boons to the agricultural classes—stability of existence. The rents were small, often nominal, especially on land owned by monasteries, which let their property simply to provide the people with shelter and work. Thus, in Austria, the payment of rent consisted in performing twelve days' service annually in the employ of the proprietor. During this kind of feudal service the landlord had to support the tenant farmers "with good cheer," so that the time of service frequently became a season of merriment and feasting, at which the tenants acknowledged the vested rights of the landowners and enjoyed their paternal bounty.</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Peasants, as a rule, were well housed, finely clad, and abundantly fed, so much so that certain popular preachers of the time called them proud and luxurious, and denounced their dressing in silks and velvets, pearls and gold, their eating of dainty viands, and their drinking of strong and costly wines. Farm hands were well paid and fed. From labor contracts between farmer and helper we learn that the servants had two courses of meat for dinner, and were entitled to meat at supper.</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pre-Reformation times agriculture was held in the highest popular esteem; next to it came handicraft. Commerce came last and lowest in public estimation. Commerce, it was said, could not enrich the nation; for it only transferred goods from one hand to another, and what the merchants gained was at the cost of the people. The celebrated scholar of Rotterdam, Erasmus, did not speak in eulogistic terms of the merchants of his time: "Merchants are the vilest and most contemptible men they lie, cheat, steal, and impose upon others."</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Christianity, as represented by the Catholic Church, always demands justice in commerce; it ever condemns usury, as diametrically opposed to justice.</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To buy up commodities with a view of selling them again at a higher price, was considered the worst form of usury. "Whosoever buys up corn, meat, and wine," Trithemius says, "in order to drive up the price and to amass money at the cost of others, is, according to the laws of the Church, no better than a common criminal." Canon law forbade the arbitrary raising of the price of food and other commodities, and required the fixing of the right prices and the just wages for labor. Janssen justly concludes: "It was the casting aside of those principles that caused the ruin of the working classes and the rise of the proletariate of later times."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wonder that non-Catholic writers have found themselves compelled to extol this phase of the social order in the Middle Ages. They marvel at the almost universal content of the working people and at the harmony and peaceful interchange of the different classes of society, and when reflecting on the chaotic condition that followed the outburst of the sixteenth century and the social unrest and dissatisfaction of modern times, they then in mournful remembrance bestow unstinted praise on the days of guild-life.</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vital Christianity was the old Catholic faith. Its all-presence in life, its profound humanity, the indissolubility of its marriages, its adaptation to human wants, its joy in voluntary poverty, obedience and fidelity—as these are the primary traits of its institutions, so they undeniably stamp it as a genuine religion.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http://www.catholicculture.org/library/view.cfm?RecNum=1191</w:t>
      </w: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Pacem In Terris</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Encyclical of Pope John XXIII    . . .</w:t>
      </w: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8"/>
          <w:szCs w:val="28"/>
        </w:rPr>
        <w:t>Order in the Universe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a marvelous order predominates in the world of living beings and in the forces of nature, is the plain lesson which the progress of modern research and the discoveries of technology teach us. And it is part of the greatness of man that he can appreciate that order, and devise the means for harnessing those forces for his own benefit.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Times New Roman" w:hAnsi="Times New Roman" w:cs="Times New Roman"/>
          <w:sz w:val="28"/>
          <w:szCs w:val="28"/>
        </w:rPr>
        <w:t>Order in Human Beings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yet there is a disunity among individuals and among nations which is in striking contrast to this perfect order in the universe. One would think that the relationships that bind men together could only be governed by force.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world's Creator has stamped man's inmost being with an order revealed to man by his conscience.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his conscience insists on his preserving it. Men "show the work of the law written in their hearts. Their conscience bears witness to them."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how could it be otherwise? All created being reflects the infinite wisdom of God. It reflects it all the more clearly, the higher it stands in the scale of perfection.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mischief is often caused by erroneous opinions. Many people think that the laws which govern man's relations with the State are the same as those which regulate the blind, elemental forces of the universe. But it is not so; the laws which govern men are quite different.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Father of the universe has inscribed them in man's nature, and that is where we must look for them; there and nowhere else.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laws clearly indicate how a man must behave toward his fellows in society, and how the mutual relationships between the members of a State and its officials are to be conducted.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show too what principles must govern the relations between States; and finally, what should be the relations between individuals or States on the one hand, and the world-wide community of nations on the other. Men's common interests make it imperative that at long last a world-wide community of nations be established.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society can be neither well-ordered nor prosperous without the presence of those who, invested with legal authority, preserve its institutions and do all that is necessary to sponsor actively the interests of all its members. And they derive their authority from God, for, as St. Paul teaches, "there is no power but from God".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commentary on this passage, St. John Chrysostom writes: "What are you saying? Is every ruler appointed by God? No, that is not what I mean, he says, for I am not now talking about individual rulers, but about authority as such. My contention is that the existence of a ruling authority — the fact that some should command and others obey, and that all things not come about as the result of blind chance — this is a provision of divine wisdom."</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God has created men social by nature, and a society cannot "hold together unless someone is in command to give effective direction and unity of purpose. Hence every civilized community must have a ruling authority, and this authority, no less than society itself, has its source in nature, and consequently has God for its author."</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must not be imagined that authority knows no bounds. Since its starting point is the permission to govern in accordance with right reason, there is no escaping the conclusion that it derives its binding force from the moral order, which in turn has God as its origin and end.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Governmental authority   . . .   is a postulate of the moral order and derives from God. Consequently, laws and decrees passed in contravention of the moral order, and hence of the divine will, can have no binding force in conscience, since "it is right to obey God rather than men."</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the passing of such laws undermines the very nature of authority and results in shameful abuse. As St. Thomas teaches, "In regard to the second proposition, we maintain that human law has the rationale of law in so far as it is in accordance with right reason, and as such it obviously derives from eternal law. A law which is at variance with reason is to that extent unjust and has no longer the rationale of law. It is rather an act of violence."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Political leaders    . . .  are still bound by the natural law, which is the rule that governs all moral conduct, and they have no authority to depart from its slightest precepts.</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ruling authority is indispensable to civil society. That is a fact which follows from the moral order itself. Such authority, therefore, cannot be misdirected against the moral order. It would immediately cease to exit, being deprived of its whole raison d'être. God Himself warns us of this: "Hear, therefore, ye kings, and understand: learn, ye that are judges of the ends of the earth. Give ear, you that rule the people, and that please yourselves in multitudes of nations. For power is given you by the Lord, and strength by the Most High, who will examine your works, and search out your thoughts."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shape and structure of political life in the modern world, and the influence exercised by public authority in all the nations of the world are unequal to the task of promoting the common good of all peoples.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Today the universal common good presents us with problems which are world-wide in their dimensions; problems, therefore, which cannot be solved except by a public authority with power, organization and means co-extensive with these problems, and with a world-wide sphere of activity. Consequently the moral order itself demands the establishment of some such general form of public authority.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special function of this universal authority must be to evaluate and find a solution to economic, social, political and cultural problems which affect the universal common good. These are problems which, because of their extreme gravity, vastness and urgency, must be considered too difficult for the rulers of individual States to solve with any degree of success.</w:t>
      </w:r>
    </w:p>
    <w:p w:rsidR="00055F84" w:rsidRDefault="00055F84">
      <w:pPr>
        <w:widowControl w:val="0"/>
        <w:autoSpaceDE w:val="0"/>
        <w:autoSpaceDN w:val="0"/>
        <w:adjustRightInd w:val="0"/>
        <w:spacing w:after="0" w:line="240" w:lineRule="auto"/>
        <w:rPr>
          <w:rFonts w:ascii="Times New Roman" w:hAnsi="Times New Roman" w:cs="Times New Roman"/>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18"/>
          <w:szCs w:val="18"/>
        </w:rPr>
        <w:t xml:space="preserve">      --- http://www.vatican.va/holy_father/john_xxiii/encyclicals/documents/hf_j-xxiii_enc_11041963_pacem_en.html</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Many Faces of Terrorism</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Carl Boggs   -   Logos 3.1 – Winter 2004</w:t>
      </w:r>
    </w:p>
    <w:p w:rsidR="00055F84" w:rsidRDefault="00055F84">
      <w:pPr>
        <w:widowControl w:val="0"/>
        <w:autoSpaceDE w:val="0"/>
        <w:autoSpaceDN w:val="0"/>
        <w:adjustRightInd w:val="0"/>
        <w:spacing w:after="0" w:line="240" w:lineRule="auto"/>
        <w:rPr>
          <w:rFonts w:ascii="Arial" w:hAnsi="Arial" w:cs="Arial"/>
          <w:sz w:val="10"/>
          <w:szCs w:val="1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Public discourse on terrorism in the United States has been shrouded in a maze of self-serving myths and platitudes  . . .  already impoverished political debate has descended to even further depths, surpassing even election campaigns, official government propaganda, and corporate media sound-bites when it comes to commentary on terrorism and war. Such commentary, often little better in the realm of academic work, typically reflects a parochial outlook that depicts a world divided between an unquestionably good (democratic, modern, enlightened) America and its primitive, barbaric challengers who stand for everything that is evil.   . . .</w:t>
      </w:r>
    </w:p>
    <w:p w:rsidR="00055F84" w:rsidRDefault="00055F84">
      <w:pPr>
        <w:widowControl w:val="0"/>
        <w:autoSpaceDE w:val="0"/>
        <w:autoSpaceDN w:val="0"/>
        <w:adjustRightInd w:val="0"/>
        <w:spacing w:after="0" w:line="240" w:lineRule="auto"/>
        <w:rPr>
          <w:rFonts w:ascii="Arial" w:hAnsi="Arial" w:cs="Arial"/>
          <w:sz w:val="14"/>
          <w:szCs w:val="14"/>
        </w:rPr>
      </w:pPr>
    </w:p>
    <w:p w:rsidR="00055F84" w:rsidRDefault="00055F84">
      <w:pPr>
        <w:widowControl w:val="0"/>
        <w:autoSpaceDE w:val="0"/>
        <w:autoSpaceDN w:val="0"/>
        <w:adjustRightInd w:val="0"/>
        <w:spacing w:after="0" w:line="240" w:lineRule="auto"/>
        <w:rPr>
          <w:rFonts w:ascii="Arial" w:hAnsi="Arial" w:cs="Arial"/>
          <w:sz w:val="14"/>
          <w:szCs w:val="14"/>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U.S. imperial power has now achieved such worldwide hegemony that its very categories of thought and action </w:t>
      </w:r>
      <w:r w:rsidRPr="00215A18">
        <w:rPr>
          <w:rStyle w:val="FootnoteReference"/>
        </w:rPr>
        <w:footnoteReference w:id="4"/>
      </w:r>
      <w:r>
        <w:rPr>
          <w:rFonts w:ascii="Arial" w:hAnsi="Arial" w:cs="Arial"/>
          <w:sz w:val="20"/>
          <w:szCs w:val="20"/>
        </w:rPr>
        <w:t xml:space="preserve"> have been thoroughly assimilated by large sectors of the Western intelligentsia, with alternative views predictably marginalized.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credible view is to locate specifically anti-U.S. terrorism as a reaction to American global power, as a form of blowback — integral to the deadly cycle of militarism and terrorism. The mainstream view sidesteps even contemplating this possibility: “terrorism” is reduced to the tormented deeds of madmen, fanatics, primitive usurpers of “modernity”, guided by nothing so much as motives of hatred and revenge. Or: terrorism simply amounts to what U.S. government officials and defenders say it is — violent actions directed against (presumably innocuous) Western targets.   . . .</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http://www.logosjournal.com/boggs.pdf</w:t>
      </w: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Integration of Theory and Practice: A Program for the New Traditionalist Movement</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Eric Heubeck    -      2001</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News Intelligence Analysis - The Yuricare Report - Free Congress Foundation</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unspoken assumption seems to be that if enough time is spent improving our intellectual sophistication and honing our arguments, our ideas will win more and more converts due simply to their irresistible appeal, and by some mysterious mechanism which no one has ever chosen to explain, our society will slowly but surely learn to cherish traditionalist values.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way of thinking must be categorically rejected.</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essay is based on the belief that the truth of an idea is not the primary reason for its acceptance.    . . .   Ideas interest us only insofar as they offer a guide to action.    . . .   This movement is not about the creation of ideas, it is about the transmission and dissemination of ideas.   . . .    We are superior to modern life.    . . .    We must be willing to take measures that perhaps we would be unwilling to take under different, more ideal circumstances. We will have standards -- we will never try to justify dishonesty, destruction of the personal reputation of our opponents, cheating, assault, etc., in the service of victory for our movement.    . . . </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http://www.yuricareport.com/Dominionism/FreeCongressEssay.html</w:t>
      </w: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David Miliband's lessons from Obama</w:t>
      </w:r>
    </w:p>
    <w:p w:rsidR="00055F84" w:rsidRDefault="00055F84">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The Next Left   -  The Fabian Society    -   7 November 2009</w:t>
      </w:r>
    </w:p>
    <w:p w:rsidR="00055F84" w:rsidRDefault="00055F84">
      <w:pPr>
        <w:widowControl w:val="0"/>
        <w:autoSpaceDE w:val="0"/>
        <w:autoSpaceDN w:val="0"/>
        <w:adjustRightInd w:val="0"/>
        <w:spacing w:after="0" w:line="240" w:lineRule="auto"/>
        <w:rPr>
          <w:rFonts w:ascii="Arial" w:hAnsi="Arial" w:cs="Arial"/>
          <w:sz w:val="14"/>
          <w:szCs w:val="14"/>
        </w:rPr>
      </w:pPr>
    </w:p>
    <w:p w:rsidR="00055F84" w:rsidRDefault="00055F84">
      <w:pPr>
        <w:widowControl w:val="0"/>
        <w:autoSpaceDE w:val="0"/>
        <w:autoSpaceDN w:val="0"/>
        <w:adjustRightInd w:val="0"/>
        <w:spacing w:after="0" w:line="240" w:lineRule="auto"/>
        <w:rPr>
          <w:rFonts w:ascii="Arial" w:hAnsi="Arial" w:cs="Arial"/>
          <w:sz w:val="14"/>
          <w:szCs w:val="14"/>
        </w:rPr>
      </w:pPr>
      <w:r>
        <w:rPr>
          <w:rFonts w:ascii="Arial" w:hAnsi="Arial" w:cs="Arial"/>
          <w:sz w:val="14"/>
          <w:szCs w:val="14"/>
        </w:rPr>
        <w:tab/>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Miliband    . . .   said    . . .   "The cynics are out in force", making what he called the "childish" argument that "the waters have not been parted" but arguing that he remained resolutely optimistic about its transformational agenda."</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"People ask why hasn't he already solved the world's problems. But that is a category mistake.   . . . "</w:t>
      </w:r>
    </w:p>
    <w:p w:rsidR="00055F84" w:rsidRDefault="00055F84">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http://www.nextleft.org/2009/11/david-milibands-lessons-from-obama.html</w:t>
      </w: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color w:val="FF0000"/>
          <w:sz w:val="24"/>
          <w:szCs w:val="24"/>
        </w:rPr>
        <w:tab/>
        <w:t>{ Dear David Miliband:   Please explain in great detail, what a category is, and also what a category mistake is. }</w:t>
      </w: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28"/>
          <w:szCs w:val="28"/>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Führerprinzip</w:t>
      </w:r>
    </w:p>
    <w:p w:rsidR="00055F84" w:rsidRDefault="00055F84">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Führerprinzip (also Fuehrerprinzip), German for "leader principle" prescribes a system with a hierarchy of leaders that resembles a military structure. This principle was applied to civil society at large in National Socialist Germany.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ideology of the Führerprinzip sees each organization as a hierarchy of leaders, where every leader (Führer) has absolute responsibility in his own area, demands absolute obedience from those below him and answers only to his superiors.</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supreme leader, Adolf Hitler, answered to no one. Giorgio Agamben has argued that Hitler saw himself as an incarnation of auctoritas, and as the living law itself.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principle became the law of the National Socialist German Worker's Party and the SS and was later transferred onto the whole German totalitarian society. Appointed mayors replaced elected local governments. The Nazis suppressed associations and unions with elected leaders, putting in their place mandatory associations with appointed leaders. The authorities allowed private corporations to keep their internal organization, but with a simple renaming from hierarchy to Führerprinzip. In practice, the selection of unsuitable candidates often led to micromanagement and commonly to an inability to formulate coherent policy. Albert Speer noted that many Nazi officials dreaded making decisions in Hitler's absence.</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Rules tended to become oral rather than written; leaders with initiative who flouted regulations and carved out their own spheres of influence might receive praise and promotion rather than censure.</w:t>
      </w: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12"/>
          <w:szCs w:val="12"/>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post-war Nuremberg Trials, Nazi war criminals – and, later, Adolf Eichmann during his trial in Israel – attempted to use the Führerprinzip as a means to evade responsibility for war crimes: "I only did what I was told". Eichmann explicitly declared    . . .</w:t>
      </w: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16"/>
          <w:szCs w:val="16"/>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Eichmann argued he was simply "doing his job", which was supposed to be in accordance with Kant's categorical imperative.</w:t>
      </w:r>
    </w:p>
    <w:p w:rsidR="00055F84" w:rsidRDefault="00055F84">
      <w:pPr>
        <w:widowControl w:val="0"/>
        <w:autoSpaceDE w:val="0"/>
        <w:autoSpaceDN w:val="0"/>
        <w:adjustRightInd w:val="0"/>
        <w:spacing w:after="0" w:line="240" w:lineRule="auto"/>
        <w:rPr>
          <w:rFonts w:ascii="Arial" w:hAnsi="Arial" w:cs="Arial"/>
          <w:sz w:val="10"/>
          <w:szCs w:val="10"/>
        </w:rPr>
      </w:pPr>
    </w:p>
    <w:p w:rsidR="00055F84" w:rsidRDefault="00055F84">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http://en.wikipedia.org/wiki/F%C3%BChrerprinzip</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Evolution, Complex Systems and the Dialectic</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Knapp, Villanova University   -   Volume 5, Number 1 (Spring 1999)</w:t>
      </w: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Journal of World-Systems Research</w:t>
      </w:r>
      <w:r>
        <w:rPr>
          <w:rFonts w:ascii="Arial" w:hAnsi="Arial" w:cs="Arial"/>
          <w:sz w:val="20"/>
          <w:szCs w:val="20"/>
        </w:rPr>
        <w:tab/>
        <w:t>-</w:t>
      </w:r>
      <w:r>
        <w:rPr>
          <w:rFonts w:ascii="Arial" w:hAnsi="Arial" w:cs="Arial"/>
          <w:sz w:val="20"/>
          <w:szCs w:val="20"/>
        </w:rPr>
        <w:tab/>
        <w:t>http://jwsr.ucr.edu/ 5: 74-103.</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Darwinian theory has limitations as a theory of long run changes, even in its home sphere. The assumption that mutations are random, that modifications build on each other and that adaptation is relative to a given environment means that there is no reason to suppose that an evolutionary process, if repeated, would produce the same outcome.   . . . </w:t>
      </w: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FF0000"/>
          <w:sz w:val="24"/>
          <w:szCs w:val="24"/>
        </w:rPr>
        <w:tab/>
        <w:t>{ The above is an interesting and completely false statement.  Describe, if you can, the sorts of thought errors that might cause an author to make the above statement. }</w:t>
      </w: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Theorists of complex adaptive systems such as Kauffman (1993), have stressed that mutual interconnection and adaptation is subject to "red queen effects" (from the scene in Alice In Wonderland in which one must run to stay in place). If one set of organisms is developing massive attack claws and teeth, while another set develops increasingly massive defense armor, then each may be more "adapted," so that organisms without the attack or defense features will be weeded out.</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are adapted to each other and to a specific environment; probably "adapted-in-general" is a nonsense category. Their adaptation, like that of the nation state as a war making machine, does not mean that they are adapted to other environments or threats, such as climatic changes or disease.   . . .</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Bibliography</w:t>
      </w:r>
    </w:p>
    <w:p w:rsidR="00055F84" w:rsidRDefault="00055F84">
      <w:pPr>
        <w:widowControl w:val="0"/>
        <w:autoSpaceDE w:val="0"/>
        <w:autoSpaceDN w:val="0"/>
        <w:adjustRightInd w:val="0"/>
        <w:spacing w:after="0" w:line="240" w:lineRule="auto"/>
        <w:rPr>
          <w:rFonts w:ascii="Arial" w:hAnsi="Arial" w:cs="Arial"/>
          <w:sz w:val="18"/>
          <w:szCs w:val="18"/>
        </w:rPr>
      </w:pPr>
    </w:p>
    <w:p w:rsidR="00055F84" w:rsidRDefault="00055F84">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Kauffman, S., 1993. The Origin of Order. Oxford: Oxford.</w:t>
      </w:r>
    </w:p>
    <w:p w:rsidR="00055F84" w:rsidRDefault="00055F84">
      <w:pPr>
        <w:widowControl w:val="0"/>
        <w:autoSpaceDE w:val="0"/>
        <w:autoSpaceDN w:val="0"/>
        <w:adjustRightInd w:val="0"/>
        <w:spacing w:after="0" w:line="240" w:lineRule="auto"/>
        <w:rPr>
          <w:rFonts w:ascii="Arial" w:hAnsi="Arial" w:cs="Arial"/>
          <w:sz w:val="18"/>
          <w:szCs w:val="18"/>
        </w:rPr>
      </w:pPr>
    </w:p>
    <w:p w:rsidR="00055F84" w:rsidRDefault="00055F8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http://jwsr.ucr.edu/archive/vol5/number1/v5n1a4.php</w:t>
      </w: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Arial" w:hAnsi="Arial" w:cs="Arial"/>
          <w:sz w:val="20"/>
          <w:szCs w:val="20"/>
        </w:rPr>
      </w:pP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55F84" w:rsidRDefault="00055F84">
      <w:pPr>
        <w:widowControl w:val="0"/>
        <w:autoSpaceDE w:val="0"/>
        <w:autoSpaceDN w:val="0"/>
        <w:adjustRightInd w:val="0"/>
        <w:spacing w:after="0" w:line="240" w:lineRule="auto"/>
        <w:rPr>
          <w:rFonts w:ascii="Times New Roman" w:hAnsi="Times New Roman" w:cs="Times New Roman"/>
          <w:sz w:val="34"/>
          <w:szCs w:val="34"/>
        </w:rPr>
      </w:pPr>
    </w:p>
    <w:p w:rsidR="00055F84" w:rsidRDefault="00055F8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55F84" w:rsidSect="00055F84">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F84" w:rsidRDefault="00055F84" w:rsidP="00055F84">
      <w:pPr>
        <w:spacing w:after="0" w:line="240" w:lineRule="auto"/>
      </w:pPr>
      <w:r>
        <w:separator/>
      </w:r>
    </w:p>
  </w:endnote>
  <w:endnote w:type="continuationSeparator" w:id="0">
    <w:p w:rsidR="00055F84" w:rsidRDefault="00055F84" w:rsidP="00055F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F84" w:rsidRDefault="00055F8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F84" w:rsidRDefault="00055F84" w:rsidP="00055F84">
      <w:pPr>
        <w:spacing w:after="0" w:line="240" w:lineRule="auto"/>
      </w:pPr>
      <w:r>
        <w:separator/>
      </w:r>
    </w:p>
  </w:footnote>
  <w:footnote w:type="continuationSeparator" w:id="0">
    <w:p w:rsidR="00055F84" w:rsidRDefault="00055F84" w:rsidP="00055F84">
      <w:pPr>
        <w:spacing w:after="0" w:line="240" w:lineRule="auto"/>
      </w:pPr>
      <w:r>
        <w:continuationSeparator/>
      </w:r>
    </w:p>
  </w:footnote>
  <w:footnote w:id="1">
    <w:p w:rsidR="00055F84" w:rsidRDefault="00055F84">
      <w:pPr>
        <w:widowControl w:val="0"/>
        <w:autoSpaceDE w:val="0"/>
        <w:autoSpaceDN w:val="0"/>
        <w:adjustRightInd w:val="0"/>
        <w:spacing w:after="0" w:line="240" w:lineRule="auto"/>
        <w:ind w:left="864"/>
        <w:rPr>
          <w:rFonts w:ascii="Times New Roman" w:hAnsi="Times New Roman" w:cs="Times New Roman"/>
          <w:sz w:val="24"/>
          <w:szCs w:val="24"/>
        </w:rPr>
      </w:pPr>
      <w:r w:rsidRPr="00215A18">
        <w:rPr>
          <w:rStyle w:val="FootnoteReference"/>
        </w:rPr>
        <w:footnoteRef/>
      </w:r>
      <w:r>
        <w:rPr>
          <w:rFonts w:ascii="Times New Roman" w:hAnsi="Times New Roman" w:cs="Times New Roman"/>
          <w:sz w:val="24"/>
          <w:szCs w:val="24"/>
        </w:rPr>
        <w:t xml:space="preserve">  This is a example of a second mean of “defining” which is equivalent to “characterizing” or “describing” rather than the first meaning: “providing the meaning of.”</w:t>
      </w:r>
    </w:p>
  </w:footnote>
  <w:footnote w:id="2">
    <w:p w:rsidR="00055F84" w:rsidRDefault="00055F84">
      <w:pPr>
        <w:widowControl w:val="0"/>
        <w:autoSpaceDE w:val="0"/>
        <w:autoSpaceDN w:val="0"/>
        <w:adjustRightInd w:val="0"/>
        <w:spacing w:before="150" w:after="0" w:line="240" w:lineRule="auto"/>
        <w:ind w:left="720" w:right="720"/>
        <w:rPr>
          <w:rFonts w:ascii="Arial" w:hAnsi="Arial" w:cs="Arial"/>
          <w:sz w:val="20"/>
          <w:szCs w:val="20"/>
        </w:rPr>
      </w:pPr>
      <w:r w:rsidRPr="00215A18">
        <w:rPr>
          <w:rStyle w:val="FootnoteReference"/>
        </w:rPr>
        <w:footnoteRef/>
      </w:r>
      <w:r>
        <w:rPr>
          <w:rFonts w:ascii="Arial" w:hAnsi="Arial" w:cs="Arial"/>
          <w:sz w:val="20"/>
          <w:szCs w:val="20"/>
        </w:rPr>
        <w:t xml:space="preserve"> "Union of Soviet Socialist Republics,"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3">
    <w:p w:rsidR="00055F84" w:rsidRDefault="00055F84">
      <w:pPr>
        <w:widowControl w:val="0"/>
        <w:autoSpaceDE w:val="0"/>
        <w:autoSpaceDN w:val="0"/>
        <w:adjustRightInd w:val="0"/>
        <w:spacing w:before="150" w:after="0" w:line="240" w:lineRule="auto"/>
        <w:ind w:left="720" w:right="720"/>
        <w:rPr>
          <w:rFonts w:ascii="Arial" w:hAnsi="Arial" w:cs="Arial"/>
          <w:sz w:val="20"/>
          <w:szCs w:val="20"/>
        </w:rPr>
      </w:pPr>
      <w:r w:rsidRPr="00215A18">
        <w:rPr>
          <w:rStyle w:val="FootnoteReference"/>
        </w:rPr>
        <w:footnoteRef/>
      </w:r>
      <w:r>
        <w:rPr>
          <w:rFonts w:ascii="Arial" w:hAnsi="Arial" w:cs="Arial"/>
          <w:sz w:val="20"/>
          <w:szCs w:val="20"/>
        </w:rPr>
        <w:t xml:space="preserve"> "Zaire, Republic of," </w:t>
      </w:r>
      <w:r>
        <w:rPr>
          <w:rFonts w:ascii="Arial" w:hAnsi="Arial" w:cs="Arial"/>
          <w:i/>
          <w:iCs/>
          <w:sz w:val="20"/>
          <w:szCs w:val="20"/>
        </w:rPr>
        <w:t xml:space="preserve">Microsoft® Encarta® 96 Encyclopedia. </w:t>
      </w:r>
      <w:r>
        <w:rPr>
          <w:rFonts w:ascii="Arial" w:hAnsi="Arial" w:cs="Arial"/>
          <w:sz w:val="20"/>
          <w:szCs w:val="20"/>
        </w:rPr>
        <w:t>© 1993-1995 Microsoft Corporation.  © Funk &amp; Wagnalls Corporation. All rights reserved.</w:t>
      </w:r>
    </w:p>
  </w:footnote>
  <w:footnote w:id="4">
    <w:p w:rsidR="00055F84" w:rsidRDefault="00055F84">
      <w:pPr>
        <w:widowControl w:val="0"/>
        <w:autoSpaceDE w:val="0"/>
        <w:autoSpaceDN w:val="0"/>
        <w:adjustRightInd w:val="0"/>
        <w:spacing w:after="0" w:line="240" w:lineRule="auto"/>
        <w:ind w:left="864"/>
        <w:rPr>
          <w:rFonts w:ascii="Times New Roman" w:hAnsi="Times New Roman" w:cs="Times New Roman"/>
          <w:color w:val="FF0000"/>
          <w:sz w:val="24"/>
          <w:szCs w:val="24"/>
        </w:rPr>
      </w:pPr>
      <w:r w:rsidRPr="00215A18">
        <w:rPr>
          <w:rStyle w:val="FootnoteReference"/>
        </w:rPr>
        <w:footnoteRef/>
      </w:r>
      <w:r>
        <w:rPr>
          <w:rFonts w:ascii="Times New Roman" w:hAnsi="Times New Roman" w:cs="Times New Roman"/>
          <w:color w:val="FF0000"/>
          <w:sz w:val="24"/>
          <w:szCs w:val="24"/>
        </w:rPr>
        <w:t xml:space="preserve">  Questions:  What is a “category of thought” ?  What is a “category of action”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F84" w:rsidRDefault="00055F8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MB</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F84"/>
    <w:rsid w:val="00055F84"/>
    <w:rsid w:val="00215A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215A18"/>
    <w:rPr>
      <w:vertAlign w:val="superscript"/>
    </w:rPr>
  </w:style>
  <w:style w:type="character" w:styleId="FootnoteReference">
    <w:name w:val="footnote reference"/>
    <w:basedOn w:val="DefaultParagraphFont"/>
    <w:uiPriority w:val="99"/>
    <w:semiHidden/>
    <w:unhideWhenUsed/>
    <w:rsid w:val="00215A1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10329</Words>
  <Characters>58880</Characters>
  <Application>Microsoft Office Word</Application>
  <DocSecurity>4</DocSecurity>
  <Lines>490</Lines>
  <Paragraphs>138</Paragraphs>
  <ScaleCrop>false</ScaleCrop>
  <Company/>
  <LinksUpToDate>false</LinksUpToDate>
  <CharactersWithSpaces>69071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2019-06-03T23:47:00Z</dcterms:created>
  <dcterms:modified xsi:type="dcterms:W3CDTF">2019-06-03T23:47:00Z</dcterms:modified>
</cp:coreProperties>
</file>